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83" w:rsidRPr="005A3092" w:rsidRDefault="00906683" w:rsidP="00906683">
      <w:pPr>
        <w:rPr>
          <w:rFonts w:cs="Calibri"/>
          <w:szCs w:val="22"/>
        </w:rPr>
      </w:pPr>
    </w:p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410"/>
        <w:gridCol w:w="231"/>
        <w:gridCol w:w="158"/>
        <w:gridCol w:w="1021"/>
        <w:gridCol w:w="487"/>
        <w:gridCol w:w="575"/>
        <w:gridCol w:w="356"/>
        <w:gridCol w:w="480"/>
        <w:gridCol w:w="10"/>
        <w:gridCol w:w="142"/>
        <w:gridCol w:w="786"/>
        <w:gridCol w:w="62"/>
        <w:gridCol w:w="990"/>
        <w:gridCol w:w="365"/>
        <w:gridCol w:w="1193"/>
        <w:gridCol w:w="224"/>
        <w:gridCol w:w="132"/>
        <w:gridCol w:w="1068"/>
      </w:tblGrid>
      <w:tr w:rsidR="00906683" w:rsidRPr="005A3092" w:rsidTr="00407719">
        <w:tc>
          <w:tcPr>
            <w:tcW w:w="9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UČNI NAČRT PREDMETA / COURSE SYLLABUS</w:t>
            </w:r>
          </w:p>
        </w:tc>
      </w:tr>
      <w:tr w:rsidR="00906683" w:rsidRPr="005A3092" w:rsidTr="00407719">
        <w:tc>
          <w:tcPr>
            <w:tcW w:w="1800" w:type="dxa"/>
            <w:gridSpan w:val="3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Predmet:</w:t>
            </w:r>
          </w:p>
        </w:tc>
        <w:tc>
          <w:tcPr>
            <w:tcW w:w="7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D015E4" w:rsidRDefault="00781D72" w:rsidP="00407719">
            <w:pPr>
              <w:rPr>
                <w:rFonts w:cs="Calibri"/>
                <w:b/>
              </w:rPr>
            </w:pPr>
            <w:bookmarkStart w:id="0" w:name="Predmet"/>
            <w:bookmarkEnd w:id="0"/>
            <w:r>
              <w:rPr>
                <w:rFonts w:cs="Calibri"/>
                <w:b/>
              </w:rPr>
              <w:t xml:space="preserve">D114: </w:t>
            </w:r>
            <w:bookmarkStart w:id="1" w:name="_GoBack"/>
            <w:r w:rsidR="00407719">
              <w:rPr>
                <w:rFonts w:cs="Calibri"/>
                <w:b/>
              </w:rPr>
              <w:t>Ca</w:t>
            </w:r>
            <w:r w:rsidR="00621AAA">
              <w:rPr>
                <w:rFonts w:cs="Calibri"/>
                <w:b/>
              </w:rPr>
              <w:t xml:space="preserve">tegory Theory and </w:t>
            </w:r>
            <w:r w:rsidR="0054337A">
              <w:rPr>
                <w:rFonts w:cs="Calibri"/>
                <w:b/>
              </w:rPr>
              <w:t xml:space="preserve">Philosophical </w:t>
            </w:r>
            <w:r w:rsidR="00621AAA">
              <w:rPr>
                <w:rFonts w:cs="Calibri"/>
                <w:b/>
              </w:rPr>
              <w:t>Dialectics</w:t>
            </w:r>
            <w:bookmarkEnd w:id="1"/>
          </w:p>
        </w:tc>
      </w:tr>
      <w:tr w:rsidR="00906683" w:rsidRPr="005A3092" w:rsidTr="00407719">
        <w:tc>
          <w:tcPr>
            <w:tcW w:w="1800" w:type="dxa"/>
            <w:gridSpan w:val="3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Course title:</w:t>
            </w:r>
          </w:p>
        </w:tc>
        <w:tc>
          <w:tcPr>
            <w:tcW w:w="7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D015E4" w:rsidRDefault="00781D72" w:rsidP="00407719">
            <w:pPr>
              <w:rPr>
                <w:rFonts w:cs="Calibri"/>
                <w:b/>
              </w:rPr>
            </w:pPr>
            <w:bookmarkStart w:id="2" w:name="APredmet"/>
            <w:bookmarkEnd w:id="2"/>
            <w:r>
              <w:rPr>
                <w:rFonts w:cs="Calibri"/>
                <w:b/>
              </w:rPr>
              <w:t xml:space="preserve">D114: </w:t>
            </w:r>
            <w:r w:rsidR="00621AAA">
              <w:rPr>
                <w:rFonts w:cs="Calibri"/>
                <w:b/>
              </w:rPr>
              <w:t xml:space="preserve">Category Theory and </w:t>
            </w:r>
            <w:r w:rsidR="0054337A">
              <w:rPr>
                <w:rFonts w:cs="Calibri"/>
                <w:b/>
              </w:rPr>
              <w:t xml:space="preserve">Philosophical </w:t>
            </w:r>
            <w:r w:rsidR="00621AAA">
              <w:rPr>
                <w:rFonts w:cs="Calibri"/>
                <w:b/>
              </w:rPr>
              <w:t>Dialectics</w:t>
            </w:r>
          </w:p>
        </w:tc>
      </w:tr>
      <w:tr w:rsidR="00906683" w:rsidRPr="005A3092" w:rsidTr="00407719">
        <w:tc>
          <w:tcPr>
            <w:tcW w:w="3309" w:type="dxa"/>
            <w:gridSpan w:val="5"/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</w:p>
        </w:tc>
      </w:tr>
      <w:tr w:rsidR="00906683" w:rsidRPr="005A3092" w:rsidTr="00407719">
        <w:tc>
          <w:tcPr>
            <w:tcW w:w="3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Študijski program in stopnja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</w:rPr>
            </w:pPr>
            <w:r w:rsidRPr="005A3092">
              <w:rPr>
                <w:rFonts w:cs="Calibri"/>
                <w:b/>
                <w:szCs w:val="22"/>
              </w:rPr>
              <w:t>Study programme and level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Študijska smer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Study field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Letnik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Academic year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Semester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Semester</w:t>
            </w:r>
          </w:p>
        </w:tc>
      </w:tr>
      <w:tr w:rsidR="00906683" w:rsidRPr="005A3092" w:rsidTr="00D015E4">
        <w:trPr>
          <w:trHeight w:val="58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906683" w:rsidRPr="005A3092" w:rsidTr="00407719">
        <w:trPr>
          <w:trHeight w:val="318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906683" w:rsidRPr="005A3092" w:rsidTr="00407719">
        <w:trPr>
          <w:trHeight w:val="103"/>
        </w:trPr>
        <w:tc>
          <w:tcPr>
            <w:tcW w:w="9695" w:type="dxa"/>
            <w:gridSpan w:val="18"/>
          </w:tcPr>
          <w:p w:rsidR="00906683" w:rsidRPr="005A3092" w:rsidRDefault="00906683" w:rsidP="00407719">
            <w:pPr>
              <w:rPr>
                <w:rFonts w:cs="Calibri"/>
                <w:b/>
                <w:bCs/>
              </w:rPr>
            </w:pPr>
          </w:p>
        </w:tc>
      </w:tr>
      <w:tr w:rsidR="00906683" w:rsidRPr="005A3092" w:rsidTr="00407719">
        <w:tc>
          <w:tcPr>
            <w:tcW w:w="57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Vrsta predmeta / Course type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5A3092" w:rsidRDefault="00407719" w:rsidP="00407719">
            <w:pPr>
              <w:rPr>
                <w:rFonts w:cs="Calibri"/>
              </w:rPr>
            </w:pPr>
            <w:r>
              <w:rPr>
                <w:rFonts w:cs="Calibri"/>
              </w:rPr>
              <w:t>Optional/Elective</w:t>
            </w:r>
          </w:p>
        </w:tc>
      </w:tr>
      <w:tr w:rsidR="00906683" w:rsidRPr="005A3092" w:rsidTr="00407719">
        <w:tc>
          <w:tcPr>
            <w:tcW w:w="5720" w:type="dxa"/>
            <w:gridSpan w:val="12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</w:tr>
      <w:tr w:rsidR="00906683" w:rsidRPr="005A3092" w:rsidTr="00407719">
        <w:tc>
          <w:tcPr>
            <w:tcW w:w="57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Univerzitetna koda predmeta / University course code: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</w:tr>
      <w:tr w:rsidR="00906683" w:rsidRPr="005A3092" w:rsidTr="00407719">
        <w:tc>
          <w:tcPr>
            <w:tcW w:w="9695" w:type="dxa"/>
            <w:gridSpan w:val="18"/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</w:tr>
      <w:tr w:rsidR="00906683" w:rsidRPr="005A3092" w:rsidTr="00407719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Predavanja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</w:rPr>
            </w:pPr>
            <w:r w:rsidRPr="005A3092">
              <w:rPr>
                <w:rFonts w:cs="Calibri"/>
                <w:b/>
                <w:szCs w:val="22"/>
              </w:rPr>
              <w:t>Lectures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Seminar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Seminar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</w:t>
            </w:r>
            <w:r w:rsidRPr="005A3092">
              <w:rPr>
                <w:rFonts w:cs="Calibri"/>
                <w:b/>
                <w:szCs w:val="22"/>
              </w:rPr>
              <w:t>aje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Tutorial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Klinične</w:t>
            </w:r>
            <w:r w:rsidRPr="005A3092">
              <w:rPr>
                <w:rFonts w:cs="Calibri"/>
                <w:b/>
                <w:szCs w:val="22"/>
              </w:rPr>
              <w:t xml:space="preserve"> vaje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work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Druge oblike študija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Samost. delo</w:t>
            </w:r>
          </w:p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Individ. work</w:t>
            </w:r>
          </w:p>
        </w:tc>
        <w:tc>
          <w:tcPr>
            <w:tcW w:w="132" w:type="dxa"/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ECTS</w:t>
            </w:r>
          </w:p>
        </w:tc>
      </w:tr>
      <w:tr w:rsidR="00906683" w:rsidRPr="005A3092" w:rsidTr="00407719">
        <w:trPr>
          <w:trHeight w:val="3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781D72" w:rsidP="0040771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781D72" w:rsidP="0040771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781D72" w:rsidP="0040771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781D72" w:rsidP="0040771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90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683" w:rsidRPr="005A3092" w:rsidRDefault="00906683" w:rsidP="00407719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83" w:rsidRPr="005A3092" w:rsidRDefault="00781D72" w:rsidP="0040771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</w:tr>
      <w:tr w:rsidR="00906683" w:rsidRPr="005A3092" w:rsidTr="00407719">
        <w:tc>
          <w:tcPr>
            <w:tcW w:w="9695" w:type="dxa"/>
            <w:gridSpan w:val="18"/>
          </w:tcPr>
          <w:p w:rsidR="00906683" w:rsidRPr="005A3092" w:rsidRDefault="00906683" w:rsidP="00407719">
            <w:pPr>
              <w:rPr>
                <w:rFonts w:cs="Calibri"/>
                <w:b/>
                <w:bCs/>
              </w:rPr>
            </w:pPr>
          </w:p>
        </w:tc>
      </w:tr>
      <w:tr w:rsidR="00906683" w:rsidRPr="005A3092" w:rsidTr="00407719">
        <w:tc>
          <w:tcPr>
            <w:tcW w:w="3309" w:type="dxa"/>
            <w:gridSpan w:val="5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Nosilec predmeta / Lecturer:</w:t>
            </w:r>
          </w:p>
        </w:tc>
        <w:tc>
          <w:tcPr>
            <w:tcW w:w="6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D015E4" w:rsidRDefault="00407719" w:rsidP="00407719">
            <w:pPr>
              <w:rPr>
                <w:rFonts w:cs="Calibri"/>
                <w:b/>
              </w:rPr>
            </w:pPr>
            <w:bookmarkStart w:id="3" w:name="Predavatelj"/>
            <w:bookmarkEnd w:id="3"/>
            <w:r>
              <w:rPr>
                <w:rFonts w:cs="Calibri"/>
                <w:b/>
              </w:rPr>
              <w:t>Prof. Rocco Gangle</w:t>
            </w:r>
          </w:p>
        </w:tc>
      </w:tr>
      <w:tr w:rsidR="00906683" w:rsidRPr="005A3092" w:rsidTr="00407719">
        <w:tc>
          <w:tcPr>
            <w:tcW w:w="9695" w:type="dxa"/>
            <w:gridSpan w:val="18"/>
          </w:tcPr>
          <w:p w:rsidR="00906683" w:rsidRPr="005A3092" w:rsidRDefault="00906683" w:rsidP="00407719">
            <w:pPr>
              <w:jc w:val="both"/>
              <w:rPr>
                <w:rFonts w:cs="Calibri"/>
              </w:rPr>
            </w:pPr>
          </w:p>
        </w:tc>
      </w:tr>
      <w:tr w:rsidR="00906683" w:rsidRPr="005A3092" w:rsidTr="00407719">
        <w:tc>
          <w:tcPr>
            <w:tcW w:w="1642" w:type="dxa"/>
            <w:gridSpan w:val="2"/>
            <w:vMerge w:val="restart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 xml:space="preserve">Jeziki / </w:t>
            </w:r>
          </w:p>
          <w:p w:rsidR="00906683" w:rsidRPr="005A3092" w:rsidRDefault="00906683" w:rsidP="00407719">
            <w:pPr>
              <w:rPr>
                <w:rFonts w:cs="Calibri"/>
              </w:rPr>
            </w:pPr>
            <w:r w:rsidRPr="005A3092">
              <w:rPr>
                <w:rFonts w:cs="Calibri"/>
                <w:b/>
                <w:szCs w:val="22"/>
              </w:rPr>
              <w:t>Languages:</w:t>
            </w:r>
            <w:r w:rsidR="00111FE4">
              <w:rPr>
                <w:rFonts w:cs="Calibri"/>
                <w:b/>
                <w:szCs w:val="22"/>
              </w:rPr>
              <w:t xml:space="preserve"> S/A</w:t>
            </w:r>
          </w:p>
        </w:tc>
        <w:tc>
          <w:tcPr>
            <w:tcW w:w="2242" w:type="dxa"/>
            <w:gridSpan w:val="4"/>
          </w:tcPr>
          <w:p w:rsidR="00906683" w:rsidRPr="005A3092" w:rsidRDefault="00906683" w:rsidP="00407719">
            <w:pPr>
              <w:jc w:val="right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Predavanja / Lectures: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5A3092" w:rsidRDefault="00407719" w:rsidP="00407719">
            <w:pPr>
              <w:jc w:val="both"/>
              <w:rPr>
                <w:rFonts w:cs="Calibri"/>
                <w:b/>
                <w:bCs/>
              </w:rPr>
            </w:pPr>
            <w:bookmarkStart w:id="4" w:name="Jezik"/>
            <w:bookmarkEnd w:id="4"/>
            <w:r>
              <w:rPr>
                <w:rFonts w:cs="Calibri"/>
                <w:b/>
                <w:bCs/>
              </w:rPr>
              <w:t>English</w:t>
            </w:r>
          </w:p>
        </w:tc>
      </w:tr>
      <w:tr w:rsidR="00906683" w:rsidRPr="005A3092" w:rsidTr="00407719">
        <w:trPr>
          <w:trHeight w:val="215"/>
        </w:trPr>
        <w:tc>
          <w:tcPr>
            <w:tcW w:w="600" w:type="dxa"/>
            <w:gridSpan w:val="2"/>
            <w:vMerge/>
            <w:vAlign w:val="center"/>
          </w:tcPr>
          <w:p w:rsidR="00906683" w:rsidRPr="005A3092" w:rsidRDefault="00906683" w:rsidP="00407719">
            <w:pPr>
              <w:rPr>
                <w:rFonts w:cs="Calibri"/>
                <w:b/>
                <w:bCs/>
              </w:rPr>
            </w:pPr>
          </w:p>
        </w:tc>
        <w:tc>
          <w:tcPr>
            <w:tcW w:w="2242" w:type="dxa"/>
            <w:gridSpan w:val="4"/>
          </w:tcPr>
          <w:p w:rsidR="00906683" w:rsidRPr="005A3092" w:rsidRDefault="00906683" w:rsidP="00407719">
            <w:pPr>
              <w:jc w:val="right"/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Vaje / Tutorial: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5A3092" w:rsidRDefault="00906683" w:rsidP="00407719">
            <w:pPr>
              <w:jc w:val="both"/>
              <w:rPr>
                <w:rFonts w:cs="Calibri"/>
                <w:b/>
                <w:bCs/>
              </w:rPr>
            </w:pPr>
            <w:bookmarkStart w:id="5" w:name="JezikV"/>
            <w:bookmarkEnd w:id="5"/>
          </w:p>
        </w:tc>
      </w:tr>
      <w:tr w:rsidR="00906683" w:rsidRPr="005A3092" w:rsidTr="00407719">
        <w:tc>
          <w:tcPr>
            <w:tcW w:w="47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  <w:bCs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Pogoji za vključitev v delo oz. za opravljanje študijskih obveznosti:</w:t>
            </w:r>
          </w:p>
        </w:tc>
        <w:tc>
          <w:tcPr>
            <w:tcW w:w="142" w:type="dxa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48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Prerequisits:</w:t>
            </w:r>
          </w:p>
        </w:tc>
      </w:tr>
      <w:tr w:rsidR="00906683" w:rsidRPr="005A3092" w:rsidTr="00612EA8">
        <w:trPr>
          <w:trHeight w:val="1630"/>
        </w:trPr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D015E4" w:rsidRDefault="00906683" w:rsidP="00E955F2">
            <w:pPr>
              <w:pStyle w:val="Odstavekseznama"/>
              <w:tabs>
                <w:tab w:val="left" w:pos="142"/>
              </w:tabs>
              <w:ind w:left="0"/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D015E4" w:rsidRDefault="00407719" w:rsidP="00621AAA">
            <w:pPr>
              <w:pStyle w:val="Odstavekseznama"/>
              <w:tabs>
                <w:tab w:val="left" w:pos="170"/>
              </w:tabs>
              <w:ind w:left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Mandatory active participation in lectures, active participation in discussions, especially in seminar discussions; Presentation of seminar works. The progression of students will be evaluated </w:t>
            </w:r>
            <w:r w:rsidR="00621AAA">
              <w:rPr>
                <w:rFonts w:cs="Calibri"/>
                <w:szCs w:val="22"/>
              </w:rPr>
              <w:t xml:space="preserve">on an ongoing basis through assessment of </w:t>
            </w:r>
            <w:r>
              <w:rPr>
                <w:rFonts w:cs="Calibri"/>
                <w:szCs w:val="22"/>
              </w:rPr>
              <w:t xml:space="preserve">shorter seminar works. Final seminar work and discussion: the </w:t>
            </w:r>
            <w:r w:rsidR="00621AAA">
              <w:rPr>
                <w:rFonts w:cs="Calibri"/>
                <w:szCs w:val="22"/>
              </w:rPr>
              <w:t xml:space="preserve">final </w:t>
            </w:r>
            <w:r>
              <w:rPr>
                <w:rFonts w:cs="Calibri"/>
                <w:szCs w:val="22"/>
              </w:rPr>
              <w:t xml:space="preserve">research assignment </w:t>
            </w:r>
            <w:r w:rsidR="00621AAA">
              <w:rPr>
                <w:rFonts w:cs="Calibri"/>
                <w:szCs w:val="22"/>
              </w:rPr>
              <w:t>will be</w:t>
            </w:r>
            <w:r>
              <w:rPr>
                <w:rFonts w:cs="Calibri"/>
                <w:szCs w:val="22"/>
              </w:rPr>
              <w:t xml:space="preserve"> </w:t>
            </w:r>
            <w:r w:rsidR="00621AAA">
              <w:rPr>
                <w:rFonts w:cs="Calibri"/>
                <w:szCs w:val="22"/>
              </w:rPr>
              <w:t xml:space="preserve">oriented </w:t>
            </w:r>
            <w:r>
              <w:rPr>
                <w:rFonts w:cs="Calibri"/>
                <w:szCs w:val="22"/>
              </w:rPr>
              <w:t xml:space="preserve"> </w:t>
            </w:r>
            <w:r w:rsidR="00621AAA">
              <w:rPr>
                <w:rFonts w:cs="Calibri"/>
                <w:szCs w:val="22"/>
              </w:rPr>
              <w:t>towards</w:t>
            </w:r>
            <w:r>
              <w:rPr>
                <w:rFonts w:cs="Calibri"/>
                <w:szCs w:val="22"/>
              </w:rPr>
              <w:t xml:space="preserve"> </w:t>
            </w:r>
            <w:r w:rsidR="00621AAA">
              <w:rPr>
                <w:rFonts w:cs="Calibri"/>
                <w:szCs w:val="22"/>
              </w:rPr>
              <w:t>ultimate publication</w:t>
            </w:r>
            <w:r>
              <w:rPr>
                <w:rFonts w:cs="Calibri"/>
                <w:szCs w:val="22"/>
              </w:rPr>
              <w:t xml:space="preserve"> in a scientific or profe</w:t>
            </w:r>
            <w:r w:rsidR="00621AAA">
              <w:rPr>
                <w:rFonts w:cs="Calibri"/>
                <w:szCs w:val="22"/>
              </w:rPr>
              <w:t>ssional journal</w:t>
            </w:r>
            <w:r>
              <w:rPr>
                <w:rFonts w:cs="Calibri"/>
                <w:szCs w:val="22"/>
              </w:rPr>
              <w:t>.</w:t>
            </w:r>
          </w:p>
        </w:tc>
      </w:tr>
      <w:tr w:rsidR="00906683" w:rsidRPr="005A3092" w:rsidTr="00407719">
        <w:trPr>
          <w:trHeight w:val="137"/>
        </w:trPr>
        <w:tc>
          <w:tcPr>
            <w:tcW w:w="4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Vsebina:</w:t>
            </w:r>
            <w:r w:rsidRPr="005A3092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52" w:type="dxa"/>
            <w:gridSpan w:val="2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48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Content (Syllabus outline):</w:t>
            </w:r>
          </w:p>
        </w:tc>
      </w:tr>
      <w:tr w:rsidR="00906683" w:rsidRPr="005A3092" w:rsidTr="00407719">
        <w:trPr>
          <w:trHeight w:val="2665"/>
        </w:trPr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74" w:rsidRPr="006A7E9D" w:rsidRDefault="000F7174" w:rsidP="00E955F2">
            <w:pPr>
              <w:pStyle w:val="Odstavekseznama"/>
              <w:tabs>
                <w:tab w:val="left" w:pos="150"/>
              </w:tabs>
              <w:ind w:left="0"/>
              <w:jc w:val="both"/>
              <w:rPr>
                <w:rFonts w:cs="Calibri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936DC2" w:rsidRDefault="00407719" w:rsidP="0040771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This course explores the philosophical meaning and relevance of category theory, a branch of contemporary mathematics with deep and far-ranging connections to practically all mathematical fields as well as the natural and social sciences and</w:t>
            </w:r>
            <w:r w:rsidR="00AA572D">
              <w:rPr>
                <w:rFonts w:cs="Calibri"/>
              </w:rPr>
              <w:t>, most importantly and least recognized,</w:t>
            </w:r>
            <w:r>
              <w:rPr>
                <w:rFonts w:cs="Calibri"/>
              </w:rPr>
              <w:t xml:space="preserve"> </w:t>
            </w:r>
            <w:r w:rsidR="0054337A">
              <w:rPr>
                <w:rFonts w:cs="Calibri"/>
              </w:rPr>
              <w:t>fundamental philosophical concepts and methods</w:t>
            </w:r>
            <w:r>
              <w:rPr>
                <w:rFonts w:cs="Calibri"/>
              </w:rPr>
              <w:t xml:space="preserve">. </w:t>
            </w:r>
            <w:r w:rsidR="0054337A">
              <w:rPr>
                <w:rFonts w:cs="Calibri"/>
              </w:rPr>
              <w:t>The course</w:t>
            </w:r>
            <w:r>
              <w:rPr>
                <w:rFonts w:cs="Calibri"/>
              </w:rPr>
              <w:t xml:space="preserve"> introduces the basic formalism and </w:t>
            </w:r>
            <w:r w:rsidR="0054337A">
              <w:rPr>
                <w:rFonts w:cs="Calibri"/>
              </w:rPr>
              <w:t>core</w:t>
            </w:r>
            <w:r>
              <w:rPr>
                <w:rFonts w:cs="Calibri"/>
              </w:rPr>
              <w:t xml:space="preserve"> techniques of category theory and builds up to elementary study of adjoint functors and topoi. </w:t>
            </w:r>
            <w:r w:rsidR="00936DC2">
              <w:rPr>
                <w:rFonts w:cs="Calibri"/>
              </w:rPr>
              <w:t xml:space="preserve">Topics to be covered include </w:t>
            </w:r>
            <w:r w:rsidR="00AA572D">
              <w:rPr>
                <w:rFonts w:cs="Calibri"/>
              </w:rPr>
              <w:t xml:space="preserve">the relation between axiom systems and models, fixed-point theorems and their connection with Godelian incompleteness proofs, the difference between Boolean and non-Boolean Heyting algebras, and Yoneda's lemma. </w:t>
            </w:r>
            <w:r>
              <w:rPr>
                <w:rFonts w:cs="Calibri"/>
              </w:rPr>
              <w:t>These mathematical constructions and the</w:t>
            </w:r>
            <w:r w:rsidR="00AA572D">
              <w:rPr>
                <w:rFonts w:cs="Calibri"/>
              </w:rPr>
              <w:t>ir</w:t>
            </w:r>
            <w:r>
              <w:rPr>
                <w:rFonts w:cs="Calibri"/>
              </w:rPr>
              <w:t xml:space="preserve"> logical </w:t>
            </w:r>
            <w:r w:rsidR="00AA572D">
              <w:rPr>
                <w:rFonts w:cs="Calibri"/>
              </w:rPr>
              <w:t xml:space="preserve">ramifications </w:t>
            </w:r>
            <w:r>
              <w:rPr>
                <w:rFonts w:cs="Calibri"/>
              </w:rPr>
              <w:t xml:space="preserve">are studied concurrently with </w:t>
            </w:r>
            <w:r w:rsidR="00AA572D">
              <w:rPr>
                <w:rFonts w:cs="Calibri"/>
              </w:rPr>
              <w:t xml:space="preserve">an examination of </w:t>
            </w:r>
            <w:r>
              <w:rPr>
                <w:rFonts w:cs="Calibri"/>
              </w:rPr>
              <w:t>Hegel's dialectical logic</w:t>
            </w:r>
            <w:r w:rsidR="00936DC2">
              <w:rPr>
                <w:rFonts w:cs="Calibri"/>
              </w:rPr>
              <w:t xml:space="preserve"> as presented in its fullest, mature form in </w:t>
            </w:r>
            <w:r w:rsidR="00936DC2">
              <w:rPr>
                <w:rFonts w:cs="Calibri"/>
                <w:i/>
              </w:rPr>
              <w:t>The Science of Logic</w:t>
            </w:r>
            <w:r w:rsidR="00936DC2">
              <w:rPr>
                <w:rFonts w:cs="Calibri"/>
              </w:rPr>
              <w:t>, following the guiding thread</w:t>
            </w:r>
            <w:r w:rsidR="009E6447">
              <w:rPr>
                <w:rFonts w:cs="Calibri"/>
              </w:rPr>
              <w:t xml:space="preserve"> of such pioneering philosophers as </w:t>
            </w:r>
            <w:r w:rsidR="00AA572D">
              <w:rPr>
                <w:rFonts w:asciiTheme="minorHAnsi" w:hAnsiTheme="minorHAnsi" w:cs="Calibri"/>
                <w:bCs/>
              </w:rPr>
              <w:t>Cavaill</w:t>
            </w:r>
            <w:r w:rsidR="00AA572D">
              <w:rPr>
                <w:rFonts w:cs="Calibri"/>
                <w:bCs/>
              </w:rPr>
              <w:t>è</w:t>
            </w:r>
            <w:r w:rsidR="00AA572D">
              <w:rPr>
                <w:rFonts w:asciiTheme="minorHAnsi" w:hAnsiTheme="minorHAnsi" w:cs="Calibri"/>
                <w:bCs/>
              </w:rPr>
              <w:t>s</w:t>
            </w:r>
            <w:r w:rsidR="009E6447">
              <w:rPr>
                <w:rFonts w:cs="Calibri"/>
              </w:rPr>
              <w:t xml:space="preserve"> and Lautman, for whom mathematics remains an ineluctable element of any truly dialectical thinking.</w:t>
            </w:r>
          </w:p>
          <w:p w:rsidR="00407719" w:rsidRDefault="00407719" w:rsidP="0040771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The seminar will proceed by advancing through Lawvere and Schanuel's extraordinarily clear and accessible introductory text to category theory </w:t>
            </w:r>
            <w:r w:rsidR="00621AAA">
              <w:rPr>
                <w:rFonts w:cs="Calibri"/>
              </w:rPr>
              <w:t xml:space="preserve">(see below) </w:t>
            </w:r>
            <w:r>
              <w:rPr>
                <w:rFonts w:cs="Calibri"/>
              </w:rPr>
              <w:t>while</w:t>
            </w:r>
            <w:r w:rsidR="00936DC2">
              <w:rPr>
                <w:rFonts w:cs="Calibri"/>
              </w:rPr>
              <w:t xml:space="preserve"> at the same time investigating a variety of philosophers who have</w:t>
            </w:r>
            <w:r w:rsidR="00621AAA">
              <w:rPr>
                <w:rFonts w:cs="Calibri"/>
              </w:rPr>
              <w:t xml:space="preserve"> examined the importance of foundational mathematics (set theory and category theory)</w:t>
            </w:r>
            <w:r w:rsidR="00936DC2">
              <w:rPr>
                <w:rFonts w:cs="Calibri"/>
              </w:rPr>
              <w:t xml:space="preserve"> </w:t>
            </w:r>
            <w:r w:rsidR="00621AAA">
              <w:rPr>
                <w:rFonts w:cs="Calibri"/>
              </w:rPr>
              <w:t xml:space="preserve"> for contemporary philosophy, including Badiou, Rodin, Zalamea and Priest. Our focus throughout is on the immanently dialectical structure of categories, that is to say, the</w:t>
            </w:r>
            <w:r w:rsidR="00AA572D">
              <w:rPr>
                <w:rFonts w:cs="Calibri"/>
              </w:rPr>
              <w:t xml:space="preserve"> core method whereby they »lift«</w:t>
            </w:r>
            <w:r w:rsidR="00621AAA">
              <w:rPr>
                <w:rFonts w:cs="Calibri"/>
              </w:rPr>
              <w:t xml:space="preserve"> objects</w:t>
            </w:r>
            <w:r w:rsidR="00AA572D">
              <w:rPr>
                <w:rFonts w:cs="Calibri"/>
              </w:rPr>
              <w:t xml:space="preserve"> of inquiry</w:t>
            </w:r>
            <w:r w:rsidR="00621AAA">
              <w:rPr>
                <w:rFonts w:cs="Calibri"/>
              </w:rPr>
              <w:t xml:space="preserve"> to determination purely through structural relations and the</w:t>
            </w:r>
            <w:r w:rsidR="00AA572D">
              <w:rPr>
                <w:rFonts w:cs="Calibri"/>
              </w:rPr>
              <w:t>n further from systems of</w:t>
            </w:r>
            <w:r w:rsidR="00621AAA">
              <w:rPr>
                <w:rFonts w:cs="Calibri"/>
              </w:rPr>
              <w:t xml:space="preserve"> relations to systems of meta-relations.</w:t>
            </w:r>
          </w:p>
          <w:p w:rsidR="00407719" w:rsidRPr="00621AAA" w:rsidRDefault="00407719" w:rsidP="00167DE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As we work through the category</w:t>
            </w:r>
            <w:r w:rsidR="00936DC2">
              <w:rPr>
                <w:rFonts w:cs="Calibri"/>
              </w:rPr>
              <w:t xml:space="preserve"> theoretical mathematics and explore its transformative </w:t>
            </w:r>
            <w:r w:rsidR="00621AAA">
              <w:rPr>
                <w:rFonts w:cs="Calibri"/>
              </w:rPr>
              <w:t>effects on contemporary philosophy, we will</w:t>
            </w:r>
            <w:r w:rsidR="009E6447">
              <w:rPr>
                <w:rFonts w:cs="Calibri"/>
              </w:rPr>
              <w:t xml:space="preserve"> </w:t>
            </w:r>
            <w:r w:rsidR="00167DE2">
              <w:rPr>
                <w:rFonts w:cs="Calibri"/>
              </w:rPr>
              <w:t>continually</w:t>
            </w:r>
            <w:r w:rsidR="009E6447">
              <w:rPr>
                <w:rFonts w:cs="Calibri"/>
              </w:rPr>
              <w:t xml:space="preserve"> pursue our</w:t>
            </w:r>
            <w:r w:rsidR="00AA572D">
              <w:rPr>
                <w:rFonts w:cs="Calibri"/>
              </w:rPr>
              <w:t xml:space="preserve"> close reading of the </w:t>
            </w:r>
            <w:r w:rsidR="00621AAA">
              <w:rPr>
                <w:rFonts w:cs="Calibri"/>
                <w:i/>
              </w:rPr>
              <w:t>Science of Logic</w:t>
            </w:r>
            <w:r w:rsidR="00621AAA">
              <w:rPr>
                <w:rFonts w:cs="Calibri"/>
              </w:rPr>
              <w:t>, a core text of the post-Kantian tradition</w:t>
            </w:r>
            <w:r w:rsidR="009E6447">
              <w:rPr>
                <w:rFonts w:cs="Calibri"/>
              </w:rPr>
              <w:t>, as guided by the commentaries and analyses of Hyppolite and Rosen</w:t>
            </w:r>
            <w:r w:rsidR="00AA572D">
              <w:rPr>
                <w:rFonts w:cs="Calibri"/>
              </w:rPr>
              <w:t xml:space="preserve"> and with </w:t>
            </w:r>
            <w:r w:rsidR="00AA572D">
              <w:rPr>
                <w:rFonts w:cs="Calibri"/>
              </w:rPr>
              <w:lastRenderedPageBreak/>
              <w:t>constant reference to the formal expression of immanent logic within categories and topoi</w:t>
            </w:r>
            <w:r w:rsidR="009E6447">
              <w:rPr>
                <w:rFonts w:cs="Calibri"/>
              </w:rPr>
              <w:t>.</w:t>
            </w:r>
          </w:p>
        </w:tc>
      </w:tr>
    </w:tbl>
    <w:p w:rsidR="00906683" w:rsidRPr="005A3092" w:rsidRDefault="00906683" w:rsidP="00906683">
      <w:pPr>
        <w:rPr>
          <w:rFonts w:cs="Calibri"/>
          <w:szCs w:val="22"/>
        </w:rPr>
      </w:pPr>
    </w:p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020"/>
        <w:gridCol w:w="697"/>
        <w:gridCol w:w="10"/>
        <w:gridCol w:w="142"/>
        <w:gridCol w:w="711"/>
        <w:gridCol w:w="4110"/>
      </w:tblGrid>
      <w:tr w:rsidR="00906683" w:rsidRPr="005A3092" w:rsidTr="00407719">
        <w:tc>
          <w:tcPr>
            <w:tcW w:w="9695" w:type="dxa"/>
            <w:gridSpan w:val="6"/>
          </w:tcPr>
          <w:p w:rsidR="00906683" w:rsidRPr="005A3092" w:rsidRDefault="00906683" w:rsidP="00407719">
            <w:pPr>
              <w:jc w:val="both"/>
              <w:rPr>
                <w:rFonts w:cs="Calibri"/>
                <w:b/>
              </w:rPr>
            </w:pPr>
            <w:r w:rsidRPr="005A3092">
              <w:rPr>
                <w:rFonts w:cs="Calibri"/>
                <w:szCs w:val="22"/>
              </w:rPr>
              <w:br w:type="page"/>
            </w:r>
            <w:r w:rsidRPr="005A3092">
              <w:rPr>
                <w:rFonts w:cs="Calibri"/>
                <w:b/>
                <w:szCs w:val="22"/>
              </w:rPr>
              <w:t>Temeljni literatura in viri</w:t>
            </w:r>
            <w:r w:rsidR="009869C4">
              <w:rPr>
                <w:rFonts w:cs="Calibri"/>
                <w:b/>
                <w:szCs w:val="22"/>
              </w:rPr>
              <w:t xml:space="preserve"> (domača in tuja)</w:t>
            </w:r>
            <w:r w:rsidRPr="005A3092">
              <w:rPr>
                <w:rFonts w:cs="Calibri"/>
                <w:b/>
                <w:szCs w:val="22"/>
              </w:rPr>
              <w:t xml:space="preserve"> / Readings:</w:t>
            </w:r>
          </w:p>
        </w:tc>
      </w:tr>
      <w:tr w:rsidR="00906683" w:rsidRPr="005A3092" w:rsidTr="00407719">
        <w:trPr>
          <w:trHeight w:val="2074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A" w:rsidRDefault="00621AAA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bookmarkStart w:id="6" w:name="Ucbeniki"/>
            <w:bookmarkEnd w:id="6"/>
            <w:r>
              <w:rPr>
                <w:rFonts w:asciiTheme="minorHAnsi" w:hAnsiTheme="minorHAnsi" w:cs="Calibri"/>
                <w:bCs/>
              </w:rPr>
              <w:t xml:space="preserve">Badiou, Alain, </w:t>
            </w:r>
            <w:r>
              <w:rPr>
                <w:rFonts w:asciiTheme="minorHAnsi" w:hAnsiTheme="minorHAnsi" w:cs="Calibri"/>
                <w:bCs/>
                <w:i/>
              </w:rPr>
              <w:t>Logics of Worlds</w:t>
            </w:r>
            <w:r>
              <w:rPr>
                <w:rFonts w:asciiTheme="minorHAnsi" w:hAnsiTheme="minorHAnsi" w:cs="Calibri"/>
                <w:bCs/>
              </w:rPr>
              <w:t xml:space="preserve">. Trans. </w:t>
            </w:r>
            <w:r w:rsidR="00AA572D">
              <w:rPr>
                <w:rFonts w:asciiTheme="minorHAnsi" w:hAnsiTheme="minorHAnsi" w:cs="Calibri"/>
                <w:bCs/>
              </w:rPr>
              <w:t xml:space="preserve">Alberto Toscano. London: Bloomsbury, 2009 </w:t>
            </w:r>
            <w:r>
              <w:rPr>
                <w:rFonts w:asciiTheme="minorHAnsi" w:hAnsiTheme="minorHAnsi" w:cs="Calibri"/>
                <w:bCs/>
              </w:rPr>
              <w:t>(extracts)</w:t>
            </w:r>
            <w:r w:rsidR="00AA572D">
              <w:rPr>
                <w:rFonts w:asciiTheme="minorHAnsi" w:hAnsiTheme="minorHAnsi" w:cs="Calibri"/>
                <w:bCs/>
              </w:rPr>
              <w:t>.</w:t>
            </w:r>
          </w:p>
          <w:p w:rsidR="00621AAA" w:rsidRPr="00621AAA" w:rsidRDefault="00621AAA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Badiou, Alain, </w:t>
            </w:r>
            <w:r>
              <w:rPr>
                <w:rFonts w:asciiTheme="minorHAnsi" w:hAnsiTheme="minorHAnsi" w:cs="Calibri"/>
                <w:bCs/>
                <w:i/>
              </w:rPr>
              <w:t>Mathematics of the Transcendental</w:t>
            </w:r>
            <w:r>
              <w:rPr>
                <w:rFonts w:asciiTheme="minorHAnsi" w:hAnsiTheme="minorHAnsi" w:cs="Calibri"/>
                <w:bCs/>
              </w:rPr>
              <w:t xml:space="preserve">. Trans. </w:t>
            </w:r>
            <w:r w:rsidR="009E6447">
              <w:rPr>
                <w:rFonts w:asciiTheme="minorHAnsi" w:hAnsiTheme="minorHAnsi" w:cs="Calibri"/>
                <w:bCs/>
              </w:rPr>
              <w:t xml:space="preserve">A.J. Bartlett and Alex Ling. London: Bloomsbury, 2014 </w:t>
            </w:r>
            <w:r>
              <w:rPr>
                <w:rFonts w:asciiTheme="minorHAnsi" w:hAnsiTheme="minorHAnsi" w:cs="Calibri"/>
                <w:bCs/>
              </w:rPr>
              <w:t>(extracts)</w:t>
            </w:r>
            <w:r w:rsidR="009E6447">
              <w:rPr>
                <w:rFonts w:asciiTheme="minorHAnsi" w:hAnsiTheme="minorHAnsi" w:cs="Calibri"/>
                <w:bCs/>
              </w:rPr>
              <w:t>.</w:t>
            </w:r>
          </w:p>
          <w:p w:rsidR="00C57831" w:rsidRPr="0054337A" w:rsidRDefault="00C57831" w:rsidP="0054337A">
            <w:pPr>
              <w:tabs>
                <w:tab w:val="left" w:pos="180"/>
              </w:tabs>
              <w:jc w:val="both"/>
              <w:rPr>
                <w:rFonts w:asciiTheme="minorHAnsi" w:hAnsiTheme="minorHAnsi" w:cs="Calibri"/>
                <w:bCs/>
                <w:lang w:val="en-US"/>
              </w:rPr>
            </w:pPr>
            <w:r w:rsidRPr="0054337A">
              <w:rPr>
                <w:rFonts w:asciiTheme="minorHAnsi" w:hAnsiTheme="minorHAnsi" w:cs="Calibri"/>
                <w:bCs/>
              </w:rPr>
              <w:t>Cavaill</w:t>
            </w:r>
            <w:r w:rsidR="00621AAA" w:rsidRPr="0054337A">
              <w:rPr>
                <w:rFonts w:cs="Calibri"/>
                <w:bCs/>
              </w:rPr>
              <w:t>è</w:t>
            </w:r>
            <w:r w:rsidR="00621AAA" w:rsidRPr="0054337A">
              <w:rPr>
                <w:rFonts w:asciiTheme="minorHAnsi" w:hAnsiTheme="minorHAnsi" w:cs="Calibri"/>
                <w:bCs/>
              </w:rPr>
              <w:t xml:space="preserve">s, Jean, </w:t>
            </w:r>
            <w:r w:rsidR="0054337A" w:rsidRPr="0054337A">
              <w:rPr>
                <w:rFonts w:asciiTheme="minorHAnsi" w:hAnsiTheme="minorHAnsi" w:cs="Calibri"/>
                <w:bCs/>
              </w:rPr>
              <w:t>»On Logic and the Theory of Science«</w:t>
            </w:r>
            <w:r w:rsidR="0054337A">
              <w:rPr>
                <w:rFonts w:asciiTheme="minorHAnsi" w:hAnsiTheme="minorHAnsi" w:cs="Calibri"/>
                <w:bCs/>
              </w:rPr>
              <w:t xml:space="preserve">. Trans. </w:t>
            </w:r>
            <w:r w:rsidR="0054337A">
              <w:rPr>
                <w:rFonts w:asciiTheme="minorHAnsi" w:hAnsiTheme="minorHAnsi" w:cs="Calibri"/>
                <w:bCs/>
                <w:lang w:val="en-US"/>
              </w:rPr>
              <w:t xml:space="preserve">T </w:t>
            </w:r>
            <w:proofErr w:type="spellStart"/>
            <w:r w:rsidR="0054337A">
              <w:rPr>
                <w:rFonts w:asciiTheme="minorHAnsi" w:hAnsiTheme="minorHAnsi" w:cs="Calibri"/>
                <w:bCs/>
                <w:lang w:val="en-US"/>
              </w:rPr>
              <w:t>Kisiel</w:t>
            </w:r>
            <w:proofErr w:type="spellEnd"/>
            <w:r w:rsidR="0054337A">
              <w:rPr>
                <w:rFonts w:asciiTheme="minorHAnsi" w:hAnsiTheme="minorHAnsi" w:cs="Calibri"/>
                <w:bCs/>
                <w:lang w:val="en-US"/>
              </w:rPr>
              <w:t xml:space="preserve"> in </w:t>
            </w:r>
            <w:r w:rsidR="0054337A" w:rsidRPr="0054337A">
              <w:rPr>
                <w:rFonts w:asciiTheme="minorHAnsi" w:hAnsiTheme="minorHAnsi" w:cs="Calibri"/>
                <w:bCs/>
                <w:i/>
                <w:lang w:val="en-US"/>
              </w:rPr>
              <w:t xml:space="preserve">Phenomenology and the Natural Sciences: Essays and Translations, </w:t>
            </w:r>
            <w:r w:rsidR="0054337A">
              <w:rPr>
                <w:rFonts w:asciiTheme="minorHAnsi" w:hAnsiTheme="minorHAnsi" w:cs="Calibri"/>
                <w:bCs/>
                <w:lang w:val="en-US"/>
              </w:rPr>
              <w:t xml:space="preserve">ed. J </w:t>
            </w:r>
            <w:proofErr w:type="spellStart"/>
            <w:r w:rsidR="0054337A">
              <w:rPr>
                <w:rFonts w:asciiTheme="minorHAnsi" w:hAnsiTheme="minorHAnsi" w:cs="Calibri"/>
                <w:bCs/>
                <w:lang w:val="en-US"/>
              </w:rPr>
              <w:t>Kockelmans</w:t>
            </w:r>
            <w:proofErr w:type="spellEnd"/>
            <w:r w:rsidR="0054337A">
              <w:rPr>
                <w:rFonts w:asciiTheme="minorHAnsi" w:hAnsiTheme="minorHAnsi" w:cs="Calibri"/>
                <w:bCs/>
                <w:lang w:val="en-US"/>
              </w:rPr>
              <w:t xml:space="preserve"> &amp; T </w:t>
            </w:r>
            <w:proofErr w:type="spellStart"/>
            <w:r w:rsidR="0054337A">
              <w:rPr>
                <w:rFonts w:asciiTheme="minorHAnsi" w:hAnsiTheme="minorHAnsi" w:cs="Calibri"/>
                <w:bCs/>
                <w:lang w:val="en-US"/>
              </w:rPr>
              <w:t>Kisiel</w:t>
            </w:r>
            <w:proofErr w:type="spellEnd"/>
            <w:r w:rsidR="0054337A">
              <w:rPr>
                <w:rFonts w:asciiTheme="minorHAnsi" w:hAnsiTheme="minorHAnsi" w:cs="Calibri"/>
                <w:bCs/>
                <w:lang w:val="en-US"/>
              </w:rPr>
              <w:t>. Evanston, IL:</w:t>
            </w:r>
            <w:r w:rsidR="0054337A" w:rsidRPr="0054337A">
              <w:rPr>
                <w:rFonts w:asciiTheme="minorHAnsi" w:hAnsiTheme="minorHAnsi" w:cs="Calibri"/>
                <w:bCs/>
                <w:lang w:val="en-US"/>
              </w:rPr>
              <w:t xml:space="preserve"> Nort</w:t>
            </w:r>
            <w:r w:rsidR="0054337A">
              <w:rPr>
                <w:rFonts w:asciiTheme="minorHAnsi" w:hAnsiTheme="minorHAnsi" w:cs="Calibri"/>
                <w:bCs/>
                <w:lang w:val="en-US"/>
              </w:rPr>
              <w:t>hwestern University Press, 1970</w:t>
            </w:r>
            <w:r w:rsidR="0054337A" w:rsidRPr="0054337A">
              <w:rPr>
                <w:rFonts w:asciiTheme="minorHAnsi" w:hAnsiTheme="minorHAnsi" w:cs="Calibri"/>
                <w:bCs/>
                <w:lang w:val="en-US"/>
              </w:rPr>
              <w:t xml:space="preserve">, </w:t>
            </w:r>
            <w:r w:rsidR="0054337A">
              <w:rPr>
                <w:rFonts w:asciiTheme="minorHAnsi" w:hAnsiTheme="minorHAnsi" w:cs="Calibri"/>
                <w:bCs/>
                <w:lang w:val="en-US"/>
              </w:rPr>
              <w:t xml:space="preserve">pp. </w:t>
            </w:r>
            <w:r w:rsidR="0054337A" w:rsidRPr="0054337A">
              <w:rPr>
                <w:rFonts w:asciiTheme="minorHAnsi" w:hAnsiTheme="minorHAnsi" w:cs="Calibri"/>
                <w:bCs/>
                <w:lang w:val="en-US"/>
              </w:rPr>
              <w:t>353-409</w:t>
            </w:r>
            <w:r w:rsidR="0054337A">
              <w:rPr>
                <w:rFonts w:asciiTheme="minorHAnsi" w:hAnsiTheme="minorHAnsi" w:cs="Calibri"/>
                <w:bCs/>
                <w:lang w:val="en-US"/>
              </w:rPr>
              <w:t>.</w:t>
            </w:r>
          </w:p>
          <w:p w:rsidR="00407719" w:rsidRDefault="00407719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Hegel, G.W.F., trans., </w:t>
            </w:r>
            <w:r>
              <w:rPr>
                <w:rFonts w:asciiTheme="minorHAnsi" w:hAnsiTheme="minorHAnsi" w:cs="Calibri"/>
                <w:bCs/>
                <w:i/>
              </w:rPr>
              <w:t>The Science of Logic</w:t>
            </w:r>
            <w:r>
              <w:rPr>
                <w:rFonts w:asciiTheme="minorHAnsi" w:hAnsiTheme="minorHAnsi" w:cs="Calibri"/>
                <w:bCs/>
              </w:rPr>
              <w:t>.</w:t>
            </w:r>
            <w:r w:rsidR="009E6447">
              <w:rPr>
                <w:rFonts w:asciiTheme="minorHAnsi" w:hAnsiTheme="minorHAnsi" w:cs="Calibri"/>
                <w:bCs/>
              </w:rPr>
              <w:t xml:space="preserve"> Trans. A.V. Miller. Amherst, NY: Prometheus Books, 1991.</w:t>
            </w:r>
          </w:p>
          <w:p w:rsidR="00407719" w:rsidRDefault="00407719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Hyppolite,</w:t>
            </w:r>
            <w:r>
              <w:rPr>
                <w:rFonts w:asciiTheme="minorHAnsi" w:hAnsiTheme="minorHAnsi" w:cs="Calibri"/>
                <w:bCs/>
                <w:i/>
              </w:rPr>
              <w:t xml:space="preserve"> Logic and Existence</w:t>
            </w:r>
            <w:r>
              <w:rPr>
                <w:rFonts w:asciiTheme="minorHAnsi" w:hAnsiTheme="minorHAnsi" w:cs="Calibri"/>
                <w:bCs/>
              </w:rPr>
              <w:t>.</w:t>
            </w:r>
            <w:r w:rsidR="00AA572D">
              <w:rPr>
                <w:rFonts w:asciiTheme="minorHAnsi" w:hAnsiTheme="minorHAnsi" w:cs="Calibri"/>
                <w:bCs/>
              </w:rPr>
              <w:t xml:space="preserve"> Trans. Leonard Lawlor and Amit Sen. Albany, NY: SUNY Press, 1997.</w:t>
            </w:r>
          </w:p>
          <w:p w:rsidR="00936DC2" w:rsidRPr="00621AAA" w:rsidRDefault="00936DC2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Lautman, Albert, </w:t>
            </w:r>
            <w:r w:rsidR="00621AAA">
              <w:rPr>
                <w:rFonts w:asciiTheme="minorHAnsi" w:hAnsiTheme="minorHAnsi" w:cs="Calibri"/>
                <w:bCs/>
                <w:i/>
              </w:rPr>
              <w:t>Mathematics, Ideas and the Physical Real</w:t>
            </w:r>
            <w:r w:rsidR="00621AAA">
              <w:rPr>
                <w:rFonts w:asciiTheme="minorHAnsi" w:hAnsiTheme="minorHAnsi" w:cs="Calibri"/>
                <w:bCs/>
              </w:rPr>
              <w:t>. Trans. Simon Duffy.</w:t>
            </w:r>
            <w:r w:rsidR="009E6447">
              <w:rPr>
                <w:rFonts w:asciiTheme="minorHAnsi" w:hAnsiTheme="minorHAnsi" w:cs="Calibri"/>
                <w:bCs/>
              </w:rPr>
              <w:t xml:space="preserve"> New York and London: Continuum, 2011.</w:t>
            </w:r>
          </w:p>
          <w:p w:rsidR="008743AE" w:rsidRDefault="00407719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Lawvere, William and Stephen Schanuel, </w:t>
            </w:r>
            <w:r>
              <w:rPr>
                <w:rFonts w:asciiTheme="minorHAnsi" w:hAnsiTheme="minorHAnsi" w:cs="Calibri"/>
                <w:bCs/>
                <w:i/>
              </w:rPr>
              <w:t>Conceptual Mathematics: A First Introduction to Categories</w:t>
            </w:r>
            <w:r>
              <w:rPr>
                <w:rFonts w:asciiTheme="minorHAnsi" w:hAnsiTheme="minorHAnsi" w:cs="Calibri"/>
                <w:bCs/>
              </w:rPr>
              <w:t>.</w:t>
            </w:r>
            <w:r w:rsidR="00167DE2">
              <w:rPr>
                <w:rFonts w:asciiTheme="minorHAnsi" w:hAnsiTheme="minorHAnsi" w:cs="Calibri"/>
                <w:bCs/>
              </w:rPr>
              <w:t xml:space="preserve"> 2nd ed. Cambridge: Cambridge University Press, 2009.</w:t>
            </w:r>
          </w:p>
          <w:p w:rsidR="00936DC2" w:rsidRPr="00AA572D" w:rsidRDefault="00936DC2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Priest, Graham, </w:t>
            </w:r>
            <w:r w:rsidR="00AA572D">
              <w:rPr>
                <w:rFonts w:asciiTheme="minorHAnsi" w:hAnsiTheme="minorHAnsi" w:cs="Calibri"/>
                <w:bCs/>
                <w:i/>
              </w:rPr>
              <w:t>Beyond the Limits of Thought</w:t>
            </w:r>
            <w:r w:rsidR="00AA572D">
              <w:rPr>
                <w:rFonts w:asciiTheme="minorHAnsi" w:hAnsiTheme="minorHAnsi" w:cs="Calibri"/>
                <w:bCs/>
              </w:rPr>
              <w:t>. Oxford and New York: Oxford University Press, 2002.</w:t>
            </w:r>
          </w:p>
          <w:p w:rsidR="009869C4" w:rsidRDefault="00C57831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Rodin, Andrei</w:t>
            </w:r>
            <w:r w:rsidR="00407719">
              <w:rPr>
                <w:rFonts w:asciiTheme="minorHAnsi" w:hAnsiTheme="minorHAnsi" w:cs="Calibri"/>
                <w:bCs/>
              </w:rPr>
              <w:t xml:space="preserve">, </w:t>
            </w:r>
            <w:r w:rsidR="00407719">
              <w:rPr>
                <w:rFonts w:asciiTheme="minorHAnsi" w:hAnsiTheme="minorHAnsi" w:cs="Calibri"/>
                <w:bCs/>
                <w:i/>
              </w:rPr>
              <w:t>Axiomatic Method and Category Theory</w:t>
            </w:r>
            <w:r w:rsidR="00407719">
              <w:rPr>
                <w:rFonts w:asciiTheme="minorHAnsi" w:hAnsiTheme="minorHAnsi" w:cs="Calibri"/>
                <w:bCs/>
              </w:rPr>
              <w:t>.</w:t>
            </w:r>
            <w:r w:rsidR="00621AAA">
              <w:rPr>
                <w:rFonts w:asciiTheme="minorHAnsi" w:hAnsiTheme="minorHAnsi" w:cs="Calibri"/>
                <w:bCs/>
              </w:rPr>
              <w:t xml:space="preserve"> Dordrecht: Springer</w:t>
            </w:r>
            <w:r w:rsidR="00167DE2">
              <w:rPr>
                <w:rFonts w:asciiTheme="minorHAnsi" w:hAnsiTheme="minorHAnsi" w:cs="Calibri"/>
                <w:bCs/>
              </w:rPr>
              <w:t xml:space="preserve"> Press</w:t>
            </w:r>
            <w:r w:rsidR="00AA572D">
              <w:rPr>
                <w:rFonts w:asciiTheme="minorHAnsi" w:hAnsiTheme="minorHAnsi" w:cs="Calibri"/>
                <w:bCs/>
              </w:rPr>
              <w:t>, 2013.</w:t>
            </w:r>
          </w:p>
          <w:p w:rsidR="009E6447" w:rsidRPr="009E6447" w:rsidRDefault="009E6447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Rosen, Stanley, </w:t>
            </w:r>
            <w:r>
              <w:rPr>
                <w:rFonts w:asciiTheme="minorHAnsi" w:hAnsiTheme="minorHAnsi" w:cs="Calibri"/>
                <w:bCs/>
                <w:i/>
              </w:rPr>
              <w:t>The Idea of Hegel's »Science of Logic«</w:t>
            </w:r>
            <w:r>
              <w:rPr>
                <w:rFonts w:asciiTheme="minorHAnsi" w:hAnsiTheme="minorHAnsi" w:cs="Calibri"/>
                <w:bCs/>
              </w:rPr>
              <w:t>. Chicago: University of Chicago Press, 2014.</w:t>
            </w:r>
          </w:p>
          <w:p w:rsidR="009869C4" w:rsidRPr="00621AAA" w:rsidRDefault="00936DC2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Zalamea, Fernando, </w:t>
            </w:r>
            <w:r>
              <w:rPr>
                <w:rFonts w:asciiTheme="minorHAnsi" w:hAnsiTheme="minorHAnsi" w:cs="Calibri"/>
                <w:bCs/>
                <w:i/>
              </w:rPr>
              <w:t>Synthetic Philosophy of Contemporary Mathematics</w:t>
            </w:r>
            <w:r w:rsidR="009E6447">
              <w:rPr>
                <w:rFonts w:asciiTheme="minorHAnsi" w:hAnsiTheme="minorHAnsi" w:cs="Calibri"/>
                <w:bCs/>
              </w:rPr>
              <w:t>. London and New York: Urbanomic/Sequence, 2013.</w:t>
            </w:r>
          </w:p>
          <w:p w:rsidR="009869C4" w:rsidRPr="009869C4" w:rsidRDefault="009869C4" w:rsidP="0058210F">
            <w:pPr>
              <w:pStyle w:val="Odstavekseznama"/>
              <w:tabs>
                <w:tab w:val="left" w:pos="180"/>
              </w:tabs>
              <w:ind w:left="0"/>
              <w:jc w:val="both"/>
              <w:rPr>
                <w:rFonts w:asciiTheme="minorHAnsi" w:hAnsiTheme="minorHAnsi" w:cs="Calibri"/>
                <w:b/>
                <w:bCs/>
              </w:rPr>
            </w:pPr>
            <w:r w:rsidRPr="009869C4">
              <w:rPr>
                <w:rFonts w:asciiTheme="minorHAnsi" w:hAnsiTheme="minorHAnsi" w:cs="Calibri"/>
                <w:b/>
                <w:bCs/>
              </w:rPr>
              <w:t xml:space="preserve">Priporočljiva literatura in viri: </w:t>
            </w:r>
          </w:p>
        </w:tc>
      </w:tr>
      <w:tr w:rsidR="00906683" w:rsidRPr="005A3092" w:rsidTr="00407719">
        <w:trPr>
          <w:trHeight w:val="73"/>
        </w:trPr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Default="00906683" w:rsidP="00407719">
            <w:pPr>
              <w:rPr>
                <w:rFonts w:cs="Calibri"/>
                <w:b/>
                <w:bCs/>
              </w:rPr>
            </w:pPr>
          </w:p>
          <w:p w:rsidR="009869C4" w:rsidRDefault="009869C4" w:rsidP="00407719">
            <w:pPr>
              <w:rPr>
                <w:rFonts w:cs="Calibri"/>
                <w:b/>
                <w:bCs/>
              </w:rPr>
            </w:pPr>
          </w:p>
          <w:p w:rsidR="009869C4" w:rsidRDefault="009869C4" w:rsidP="00407719">
            <w:pPr>
              <w:rPr>
                <w:rFonts w:cs="Calibri"/>
                <w:b/>
                <w:bCs/>
              </w:rPr>
            </w:pPr>
          </w:p>
          <w:p w:rsidR="009869C4" w:rsidRPr="005A3092" w:rsidRDefault="009869C4" w:rsidP="00407719">
            <w:pPr>
              <w:rPr>
                <w:rFonts w:cs="Calibri"/>
                <w:b/>
                <w:bCs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Cilji in kompetence:</w:t>
            </w:r>
          </w:p>
        </w:tc>
        <w:tc>
          <w:tcPr>
            <w:tcW w:w="152" w:type="dxa"/>
            <w:gridSpan w:val="2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Default="00906683" w:rsidP="00407719">
            <w:pPr>
              <w:rPr>
                <w:rFonts w:cs="Calibri"/>
                <w:b/>
              </w:rPr>
            </w:pPr>
          </w:p>
          <w:p w:rsidR="009869C4" w:rsidRPr="005A3092" w:rsidRDefault="009869C4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DE77B7">
              <w:rPr>
                <w:rFonts w:cs="Calibri"/>
                <w:b/>
                <w:szCs w:val="22"/>
                <w:lang w:val="en-GB"/>
              </w:rPr>
              <w:t>Objectives and competences</w:t>
            </w:r>
            <w:r w:rsidRPr="005A3092">
              <w:rPr>
                <w:rFonts w:cs="Calibri"/>
                <w:b/>
                <w:szCs w:val="22"/>
              </w:rPr>
              <w:t>:</w:t>
            </w:r>
          </w:p>
        </w:tc>
      </w:tr>
      <w:tr w:rsidR="00906683" w:rsidRPr="005A3092" w:rsidTr="00407719">
        <w:trPr>
          <w:trHeight w:val="1838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F" w:rsidRPr="005A3092" w:rsidRDefault="0058210F" w:rsidP="0058210F">
            <w:pPr>
              <w:jc w:val="both"/>
              <w:rPr>
                <w:rFonts w:cs="Calibri"/>
              </w:rPr>
            </w:pPr>
          </w:p>
          <w:p w:rsidR="008743AE" w:rsidRPr="005A3092" w:rsidRDefault="008743AE" w:rsidP="008743AE">
            <w:pPr>
              <w:jc w:val="both"/>
              <w:rPr>
                <w:rFonts w:cs="Calibri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936DC2" w:rsidRDefault="00936DC2" w:rsidP="00936DC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936DC2">
              <w:rPr>
                <w:rFonts w:cs="Calibri"/>
              </w:rPr>
              <w:t xml:space="preserve">Develop a basic competency in the </w:t>
            </w:r>
            <w:r>
              <w:rPr>
                <w:rFonts w:cs="Calibri"/>
              </w:rPr>
              <w:t xml:space="preserve">mathematical </w:t>
            </w:r>
            <w:r w:rsidRPr="00936DC2">
              <w:rPr>
                <w:rFonts w:cs="Calibri"/>
              </w:rPr>
              <w:t xml:space="preserve">methods and </w:t>
            </w:r>
            <w:r>
              <w:rPr>
                <w:rFonts w:cs="Calibri"/>
              </w:rPr>
              <w:t>techniques of category theory and understand their philosophical relevance.</w:t>
            </w:r>
          </w:p>
          <w:p w:rsidR="00936DC2" w:rsidRDefault="00936DC2" w:rsidP="00936DC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Articulate core philosophical structures such as self-reference</w:t>
            </w:r>
            <w:r w:rsidR="00C57831">
              <w:rPr>
                <w:rFonts w:cs="Calibri"/>
              </w:rPr>
              <w:t>, intentionality, dialectic</w:t>
            </w:r>
            <w:r>
              <w:rPr>
                <w:rFonts w:cs="Calibri"/>
              </w:rPr>
              <w:t xml:space="preserve"> </w:t>
            </w:r>
            <w:r w:rsidR="00C57831">
              <w:rPr>
                <w:rFonts w:cs="Calibri"/>
              </w:rPr>
              <w:t xml:space="preserve">and chiasmic implication </w:t>
            </w:r>
            <w:r>
              <w:rPr>
                <w:rFonts w:cs="Calibri"/>
              </w:rPr>
              <w:t>in a rigorous formal manner</w:t>
            </w:r>
            <w:r w:rsidR="00167DE2">
              <w:rPr>
                <w:rFonts w:cs="Calibri"/>
              </w:rPr>
              <w:t xml:space="preserve"> with the tools of category theory and topoi</w:t>
            </w:r>
            <w:r>
              <w:rPr>
                <w:rFonts w:cs="Calibri"/>
              </w:rPr>
              <w:t>.</w:t>
            </w:r>
          </w:p>
          <w:p w:rsidR="00C57831" w:rsidRDefault="00C57831" w:rsidP="00936DC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Understand and apply Hegelian dialectical logic in a variety of social, </w:t>
            </w:r>
            <w:r>
              <w:rPr>
                <w:rFonts w:cs="Calibri"/>
              </w:rPr>
              <w:lastRenderedPageBreak/>
              <w:t>political and historical interpretative contexts.</w:t>
            </w:r>
          </w:p>
          <w:p w:rsidR="00936DC2" w:rsidRPr="00936DC2" w:rsidRDefault="00936DC2" w:rsidP="00936DC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Compose a </w:t>
            </w:r>
            <w:r w:rsidR="00C57831">
              <w:rPr>
                <w:rFonts w:cs="Calibri"/>
              </w:rPr>
              <w:t xml:space="preserve">well-structured philosophical essay that integrates formal methodologies and </w:t>
            </w:r>
            <w:r w:rsidR="00167DE2">
              <w:rPr>
                <w:rFonts w:cs="Calibri"/>
              </w:rPr>
              <w:t xml:space="preserve">more conventionally philosophical </w:t>
            </w:r>
            <w:r w:rsidR="00C57831">
              <w:rPr>
                <w:rFonts w:cs="Calibri"/>
              </w:rPr>
              <w:t>conceptual ar</w:t>
            </w:r>
            <w:r w:rsidR="00167DE2">
              <w:rPr>
                <w:rFonts w:cs="Calibri"/>
              </w:rPr>
              <w:t>gumentation</w:t>
            </w:r>
            <w:r w:rsidR="00C57831">
              <w:rPr>
                <w:rFonts w:cs="Calibri"/>
              </w:rPr>
              <w:t>.</w:t>
            </w:r>
          </w:p>
        </w:tc>
      </w:tr>
      <w:tr w:rsidR="00906683" w:rsidRPr="005A3092" w:rsidTr="00407719">
        <w:trPr>
          <w:trHeight w:val="117"/>
        </w:trPr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Predvideni študijski rezultati:</w:t>
            </w:r>
          </w:p>
        </w:tc>
        <w:tc>
          <w:tcPr>
            <w:tcW w:w="142" w:type="dxa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Intended learning outcomes:</w:t>
            </w:r>
          </w:p>
        </w:tc>
      </w:tr>
      <w:tr w:rsidR="00906683" w:rsidRPr="005A3092" w:rsidTr="00612EA8">
        <w:trPr>
          <w:trHeight w:val="1071"/>
        </w:trPr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683" w:rsidRPr="005A3092" w:rsidRDefault="00906683" w:rsidP="00612EA8">
            <w:pPr>
              <w:jc w:val="both"/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31" w:rsidRPr="00936DC2" w:rsidRDefault="00C57831" w:rsidP="00C57831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936DC2">
              <w:rPr>
                <w:rFonts w:cs="Calibri"/>
              </w:rPr>
              <w:t xml:space="preserve">Develop a basic competency in the </w:t>
            </w:r>
            <w:r>
              <w:rPr>
                <w:rFonts w:cs="Calibri"/>
              </w:rPr>
              <w:t xml:space="preserve">mathematical </w:t>
            </w:r>
            <w:r w:rsidRPr="00936DC2">
              <w:rPr>
                <w:rFonts w:cs="Calibri"/>
              </w:rPr>
              <w:t xml:space="preserve">methods and </w:t>
            </w:r>
            <w:r>
              <w:rPr>
                <w:rFonts w:cs="Calibri"/>
              </w:rPr>
              <w:t>techniques of category theory and understand their philosophical relevance.</w:t>
            </w:r>
          </w:p>
          <w:p w:rsidR="00C57831" w:rsidRDefault="00C57831" w:rsidP="00C57831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Articulate core philosophical structures such as self-reference, intentionality, dialectic and chiasmic implication in a rigorous formal manner.</w:t>
            </w:r>
          </w:p>
          <w:p w:rsidR="00C57831" w:rsidRDefault="00C57831" w:rsidP="00C57831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Understand and apply Hegelian dialectical logic in a variety of social, political and historical interpretative contexts.</w:t>
            </w:r>
          </w:p>
          <w:p w:rsidR="00906683" w:rsidRPr="00C57831" w:rsidRDefault="00C57831" w:rsidP="00C57831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C57831">
              <w:rPr>
                <w:rFonts w:cs="Calibri"/>
              </w:rPr>
              <w:t>Compose a well-structured philosophical essay that integrates formal methodologies and conceptual argumentation in ordinary language.</w:t>
            </w:r>
          </w:p>
        </w:tc>
      </w:tr>
      <w:tr w:rsidR="00906683" w:rsidRPr="005A3092" w:rsidTr="00612EA8">
        <w:trPr>
          <w:trHeight w:val="486"/>
        </w:trPr>
        <w:tc>
          <w:tcPr>
            <w:tcW w:w="4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</w:tr>
      <w:tr w:rsidR="00906683" w:rsidRPr="005A3092" w:rsidTr="00407719"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Metode poučevanja in učenja:</w:t>
            </w:r>
          </w:p>
        </w:tc>
        <w:tc>
          <w:tcPr>
            <w:tcW w:w="142" w:type="dxa"/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Learning and teaching methods:</w:t>
            </w:r>
          </w:p>
        </w:tc>
      </w:tr>
      <w:tr w:rsidR="00906683" w:rsidRPr="005A3092" w:rsidTr="00612EA8">
        <w:trPr>
          <w:trHeight w:val="1384"/>
        </w:trPr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4" w:rsidRPr="005A3092" w:rsidRDefault="00111FE4" w:rsidP="00407719">
            <w:pP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C57831" w:rsidRDefault="00936DC2" w:rsidP="00936DC2">
            <w:pPr>
              <w:spacing w:before="8" w:line="240" w:lineRule="exact"/>
              <w:ind w:left="140" w:right="68"/>
              <w:rPr>
                <w:rFonts w:cs="Calibri"/>
              </w:rPr>
            </w:pPr>
            <w:r w:rsidRPr="00C57831">
              <w:t xml:space="preserve">Lectures, interactive </w:t>
            </w:r>
            <w:r w:rsidRPr="00C57831">
              <w:rPr>
                <w:spacing w:val="-3"/>
              </w:rPr>
              <w:t xml:space="preserve">learning, </w:t>
            </w:r>
            <w:r w:rsidRPr="00C57831">
              <w:t xml:space="preserve">seminars, </w:t>
            </w:r>
            <w:r w:rsidR="00C57831">
              <w:t xml:space="preserve">exercises in formal proof, </w:t>
            </w:r>
            <w:r w:rsidRPr="00C57831">
              <w:t xml:space="preserve">discussions, </w:t>
            </w:r>
            <w:r w:rsidR="00C57831">
              <w:t>close textual analysis</w:t>
            </w:r>
            <w:r w:rsidRPr="00C57831">
              <w:rPr>
                <w:spacing w:val="-4"/>
              </w:rPr>
              <w:t xml:space="preserve">, </w:t>
            </w:r>
            <w:r w:rsidRPr="00C57831">
              <w:t xml:space="preserve">group </w:t>
            </w:r>
            <w:r w:rsidR="00C57831">
              <w:t xml:space="preserve">work </w:t>
            </w:r>
            <w:r w:rsidRPr="00C57831">
              <w:t>and individual</w:t>
            </w:r>
            <w:r w:rsidRPr="00C57831">
              <w:rPr>
                <w:spacing w:val="11"/>
              </w:rPr>
              <w:t xml:space="preserve"> </w:t>
            </w:r>
            <w:r w:rsidR="00C57831">
              <w:t>reading and study</w:t>
            </w:r>
            <w:r w:rsidRPr="00C57831">
              <w:t>.</w:t>
            </w:r>
          </w:p>
          <w:p w:rsidR="00651DD8" w:rsidRPr="005A3092" w:rsidRDefault="00651DD8" w:rsidP="00407719">
            <w:pPr>
              <w:rPr>
                <w:rFonts w:cs="Calibri"/>
              </w:rPr>
            </w:pPr>
          </w:p>
        </w:tc>
      </w:tr>
      <w:tr w:rsidR="00906683" w:rsidRPr="005A3092" w:rsidTr="00407719"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Default="00906683" w:rsidP="00407719">
            <w:pPr>
              <w:rPr>
                <w:rFonts w:cs="Calibri"/>
                <w:b/>
              </w:rPr>
            </w:pPr>
          </w:p>
          <w:p w:rsidR="00612EA8" w:rsidRPr="005A3092" w:rsidRDefault="00612EA8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Načini ocenjevanja: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A8" w:rsidRDefault="00612EA8" w:rsidP="00407719">
            <w:pPr>
              <w:rPr>
                <w:rFonts w:cs="Calibri"/>
              </w:rPr>
            </w:pPr>
          </w:p>
          <w:p w:rsidR="00906683" w:rsidRPr="005A3092" w:rsidRDefault="00906683" w:rsidP="00407719">
            <w:pPr>
              <w:rPr>
                <w:rFonts w:cs="Calibri"/>
              </w:rPr>
            </w:pPr>
            <w:r w:rsidRPr="005A3092">
              <w:rPr>
                <w:rFonts w:cs="Calibri"/>
                <w:szCs w:val="22"/>
              </w:rPr>
              <w:t>Delež (v %) /</w:t>
            </w: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szCs w:val="22"/>
              </w:rPr>
              <w:t>Weight (in %)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612EA8" w:rsidRDefault="00612EA8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>Assessment:</w:t>
            </w:r>
          </w:p>
        </w:tc>
      </w:tr>
      <w:tr w:rsidR="00906683" w:rsidRPr="005A3092" w:rsidTr="00407719">
        <w:trPr>
          <w:trHeight w:val="1104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Default="00936DC2" w:rsidP="00E955F2">
            <w:pPr>
              <w:rPr>
                <w:rFonts w:cs="Calibri"/>
              </w:rPr>
            </w:pPr>
            <w:r>
              <w:rPr>
                <w:rFonts w:cs="Calibri"/>
              </w:rPr>
              <w:t>80%</w:t>
            </w:r>
          </w:p>
          <w:p w:rsidR="00936DC2" w:rsidRPr="005A3092" w:rsidRDefault="00936DC2" w:rsidP="00E955F2">
            <w:pPr>
              <w:rPr>
                <w:rFonts w:cs="Calibri"/>
              </w:rPr>
            </w:pPr>
            <w:r>
              <w:rPr>
                <w:rFonts w:cs="Calibri"/>
              </w:rPr>
              <w:t>20%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683" w:rsidRPr="005A3092" w:rsidRDefault="00651DD8" w:rsidP="00651DD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100 %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Default="00936DC2" w:rsidP="0040771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Written Assignments</w:t>
            </w:r>
          </w:p>
          <w:p w:rsidR="00936DC2" w:rsidRPr="005A3092" w:rsidRDefault="00936DC2" w:rsidP="0040771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Oral Exam</w:t>
            </w:r>
          </w:p>
        </w:tc>
      </w:tr>
      <w:tr w:rsidR="00906683" w:rsidRPr="005A3092" w:rsidTr="00407719">
        <w:tc>
          <w:tcPr>
            <w:tcW w:w="9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683" w:rsidRPr="005A3092" w:rsidRDefault="00906683" w:rsidP="00407719">
            <w:pPr>
              <w:rPr>
                <w:rFonts w:cs="Calibri"/>
                <w:b/>
              </w:rPr>
            </w:pPr>
          </w:p>
          <w:p w:rsidR="00906683" w:rsidRPr="005A3092" w:rsidRDefault="00906683" w:rsidP="00407719">
            <w:pPr>
              <w:rPr>
                <w:rFonts w:cs="Calibri"/>
                <w:b/>
              </w:rPr>
            </w:pPr>
            <w:r w:rsidRPr="005A3092">
              <w:rPr>
                <w:rFonts w:cs="Calibri"/>
                <w:b/>
                <w:szCs w:val="22"/>
              </w:rPr>
              <w:t xml:space="preserve">Reference nosilca / Lecturer's references: </w:t>
            </w:r>
          </w:p>
        </w:tc>
      </w:tr>
      <w:tr w:rsidR="00906683" w:rsidRPr="005A3092" w:rsidTr="00407719"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83" w:rsidRPr="005A3092" w:rsidRDefault="00906683" w:rsidP="00407719">
            <w:pPr>
              <w:rPr>
                <w:rFonts w:cs="Calibri"/>
              </w:rPr>
            </w:pPr>
          </w:p>
          <w:p w:rsidR="00906683" w:rsidRPr="005A3092" w:rsidRDefault="00906683" w:rsidP="00407719">
            <w:pPr>
              <w:rPr>
                <w:rFonts w:cs="Calibri"/>
              </w:rPr>
            </w:pPr>
          </w:p>
          <w:p w:rsidR="00906683" w:rsidRPr="005A3092" w:rsidRDefault="00906683" w:rsidP="00407719">
            <w:pPr>
              <w:rPr>
                <w:rFonts w:cs="Calibri"/>
              </w:rPr>
            </w:pPr>
          </w:p>
          <w:p w:rsidR="00906683" w:rsidRPr="005A3092" w:rsidRDefault="00906683" w:rsidP="00407719">
            <w:pPr>
              <w:rPr>
                <w:rFonts w:cs="Calibri"/>
              </w:rPr>
            </w:pPr>
          </w:p>
        </w:tc>
      </w:tr>
    </w:tbl>
    <w:p w:rsidR="0070185F" w:rsidRDefault="0070185F"/>
    <w:sectPr w:rsidR="0070185F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89B"/>
    <w:multiLevelType w:val="hybridMultilevel"/>
    <w:tmpl w:val="668EC3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57F9A"/>
    <w:multiLevelType w:val="hybridMultilevel"/>
    <w:tmpl w:val="596CD90E"/>
    <w:lvl w:ilvl="0" w:tplc="B02ACC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256C"/>
    <w:multiLevelType w:val="hybridMultilevel"/>
    <w:tmpl w:val="1A92ABCA"/>
    <w:lvl w:ilvl="0" w:tplc="E006D2F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3"/>
    <w:rsid w:val="00024168"/>
    <w:rsid w:val="000F7174"/>
    <w:rsid w:val="00111FE4"/>
    <w:rsid w:val="00167DE2"/>
    <w:rsid w:val="002F21F0"/>
    <w:rsid w:val="003D16C5"/>
    <w:rsid w:val="00407719"/>
    <w:rsid w:val="0048724A"/>
    <w:rsid w:val="00491718"/>
    <w:rsid w:val="0054337A"/>
    <w:rsid w:val="0058210F"/>
    <w:rsid w:val="00612EA8"/>
    <w:rsid w:val="00621AAA"/>
    <w:rsid w:val="00651DD8"/>
    <w:rsid w:val="006A7E9D"/>
    <w:rsid w:val="006D0343"/>
    <w:rsid w:val="0070185F"/>
    <w:rsid w:val="00781D72"/>
    <w:rsid w:val="00865EC3"/>
    <w:rsid w:val="008743AE"/>
    <w:rsid w:val="00906683"/>
    <w:rsid w:val="00936DC2"/>
    <w:rsid w:val="00985FEC"/>
    <w:rsid w:val="009869C4"/>
    <w:rsid w:val="009C1FAF"/>
    <w:rsid w:val="009E6447"/>
    <w:rsid w:val="00AA572D"/>
    <w:rsid w:val="00C16FB0"/>
    <w:rsid w:val="00C57831"/>
    <w:rsid w:val="00D015E4"/>
    <w:rsid w:val="00D540D6"/>
    <w:rsid w:val="00D72895"/>
    <w:rsid w:val="00E750AA"/>
    <w:rsid w:val="00E955F2"/>
    <w:rsid w:val="00FC3E28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5A762D-15A3-430D-A056-98EF19D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68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15E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D16C5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D5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A858-AD51-45EA-B490-4C4F13DA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Kavtičnik</dc:creator>
  <cp:lastModifiedBy>AMEU ISH</cp:lastModifiedBy>
  <cp:revision>2</cp:revision>
  <cp:lastPrinted>2015-06-09T08:12:00Z</cp:lastPrinted>
  <dcterms:created xsi:type="dcterms:W3CDTF">2017-08-31T10:50:00Z</dcterms:created>
  <dcterms:modified xsi:type="dcterms:W3CDTF">2017-08-31T10:50:00Z</dcterms:modified>
</cp:coreProperties>
</file>